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3" w:rsidRDefault="003E4793">
      <w:pPr>
        <w:spacing w:after="0" w:line="240" w:lineRule="auto"/>
        <w:ind w:right="0"/>
      </w:pPr>
    </w:p>
    <w:p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9084" wp14:editId="4148D7CB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93" w:rsidRDefault="003E4793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67C3D6" wp14:editId="7CD0D589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:rsidR="003E4793" w:rsidRDefault="003E4793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B574C" wp14:editId="56A0BC33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E4793" w:rsidRPr="00270686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3E4793" w:rsidRDefault="003E4793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E4793" w:rsidRPr="00270686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3E4793" w:rsidRDefault="003E4793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0"/>
                <w:szCs w:val="20"/>
              </w:rPr>
              <w:t>nate is the academic governing body of BU and is responsible to the Vice-Chancellor and the University Board for monitoring and advising on the academic work of the University.</w:t>
            </w:r>
          </w:p>
          <w:p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:rsidR="00447AB5" w:rsidRDefault="00447AB5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  <w:r w:rsidR="001374ED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:rsidR="00270686" w:rsidRPr="004B3837" w:rsidRDefault="00F04564" w:rsidP="004054B6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  <w:p w:rsidR="00F04564" w:rsidRPr="003714AA" w:rsidRDefault="00F04564" w:rsidP="003E479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eputy Vice-Chancellor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DE03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Vice-Chancellor</w:t>
            </w:r>
            <w:r w:rsidR="00DE037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Director of Finance</w:t>
            </w:r>
            <w:r w:rsidR="005B0DC2"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:rsidR="00BC3C0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:rsidR="00085D3A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Academic Services</w:t>
            </w:r>
          </w:p>
          <w:p w:rsidR="00BC3C00" w:rsidRPr="005B5E78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Student Services</w:t>
            </w:r>
            <w:r w:rsidR="00C72A87" w:rsidRPr="004B38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B5E78" w:rsidRPr="00E00294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029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Research and Knowledge Exchange</w:t>
            </w:r>
          </w:p>
          <w:p w:rsidR="00BC3C00" w:rsidRDefault="00C26D15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="00BC3C00">
              <w:rPr>
                <w:rFonts w:ascii="Arial" w:hAnsi="Arial" w:cs="Arial"/>
                <w:sz w:val="20"/>
                <w:szCs w:val="20"/>
              </w:rPr>
              <w:t>D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eans of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Pr="00C26D15" w:rsidRDefault="00BC3C00" w:rsidP="00147AA5">
            <w:pPr>
              <w:spacing w:after="0" w:line="240" w:lineRule="auto"/>
              <w:ind w:left="3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BC3C0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 (Education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General Manager of the Students’ Union</w:t>
            </w:r>
          </w:p>
          <w:p w:rsidR="00BC3C00" w:rsidRPr="00BC3C00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BC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of academic staff from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freely elected triennially by members of academic staff</w:t>
            </w:r>
            <w:r w:rsidR="00BC3C00">
              <w:rPr>
                <w:rFonts w:ascii="Arial" w:hAnsi="Arial" w:cs="Arial"/>
                <w:sz w:val="20"/>
                <w:szCs w:val="20"/>
              </w:rPr>
              <w:t xml:space="preserve"> of that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:rsidR="00A925B0" w:rsidRPr="004B3837" w:rsidRDefault="005B0DC2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837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Pr="004B3837">
              <w:rPr>
                <w:rFonts w:ascii="Arial" w:hAnsi="Arial" w:cs="Arial"/>
                <w:sz w:val="20"/>
                <w:szCs w:val="20"/>
              </w:rPr>
              <w:t xml:space="preserve"> nominated by the </w:t>
            </w:r>
            <w:r w:rsidR="00C26D15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4B3837">
              <w:rPr>
                <w:rFonts w:ascii="Arial" w:hAnsi="Arial" w:cs="Arial"/>
                <w:sz w:val="20"/>
                <w:szCs w:val="20"/>
              </w:rPr>
              <w:t>Dean and approved by the Chair.</w:t>
            </w:r>
          </w:p>
          <w:p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5B0DC2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Committee </w:t>
            </w:r>
          </w:p>
          <w:p w:rsidR="00614B3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Education and Student Experience Committee 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and 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Knowledge Exchange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:rsidR="00E95AD5" w:rsidRDefault="0016499D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Faculty </w:t>
            </w:r>
            <w:r w:rsidR="003818A2">
              <w:rPr>
                <w:rFonts w:ascii="Arial" w:hAnsi="Arial" w:cs="Arial"/>
                <w:iCs/>
                <w:sz w:val="20"/>
                <w:szCs w:val="20"/>
              </w:rPr>
              <w:t>Academic Board</w:t>
            </w:r>
          </w:p>
          <w:p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:rsidR="00FD2FAA" w:rsidRPr="00B33969" w:rsidRDefault="00265E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Senate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:rsidR="00FD2FAA" w:rsidRPr="00B33969" w:rsidRDefault="00147AA5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:rsidR="00FD2FAA" w:rsidRPr="00614B32" w:rsidRDefault="00265E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November 2017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:rsidTr="00B33969">
        <w:tc>
          <w:tcPr>
            <w:tcW w:w="1809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:rsidR="00BF18F7" w:rsidRPr="00614B32" w:rsidRDefault="00265E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November 2017</w:t>
            </w:r>
          </w:p>
        </w:tc>
        <w:tc>
          <w:tcPr>
            <w:tcW w:w="1701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:rsidR="00BF18F7" w:rsidRPr="00B33969" w:rsidRDefault="00265EF7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2018</w:t>
            </w:r>
          </w:p>
        </w:tc>
      </w:tr>
    </w:tbl>
    <w:p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36CD" w:rsidRPr="00B2557A" w:rsidSect="003E4793"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93" w:rsidRDefault="003E4793" w:rsidP="001A6552">
      <w:pPr>
        <w:spacing w:after="0" w:line="240" w:lineRule="auto"/>
      </w:pPr>
      <w:r>
        <w:separator/>
      </w:r>
    </w:p>
  </w:endnote>
  <w:end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93" w:rsidRPr="003942F3" w:rsidRDefault="003E4793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265EF7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93" w:rsidRDefault="003E4793" w:rsidP="001A6552">
      <w:pPr>
        <w:spacing w:after="0" w:line="240" w:lineRule="auto"/>
      </w:pPr>
      <w:r>
        <w:separator/>
      </w:r>
    </w:p>
  </w:footnote>
  <w:foot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4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3"/>
  </w:num>
  <w:num w:numId="18">
    <w:abstractNumId w:val="36"/>
  </w:num>
  <w:num w:numId="19">
    <w:abstractNumId w:val="16"/>
  </w:num>
  <w:num w:numId="20">
    <w:abstractNumId w:val="32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8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0"/>
  </w:num>
  <w:num w:numId="34">
    <w:abstractNumId w:val="37"/>
  </w:num>
  <w:num w:numId="35">
    <w:abstractNumId w:val="5"/>
  </w:num>
  <w:num w:numId="36">
    <w:abstractNumId w:val="31"/>
  </w:num>
  <w:num w:numId="37">
    <w:abstractNumId w:val="14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374ED"/>
    <w:rsid w:val="00140D16"/>
    <w:rsid w:val="00141A51"/>
    <w:rsid w:val="00145A4A"/>
    <w:rsid w:val="00147AA5"/>
    <w:rsid w:val="00150751"/>
    <w:rsid w:val="001542CF"/>
    <w:rsid w:val="0015439B"/>
    <w:rsid w:val="00156D01"/>
    <w:rsid w:val="0016155D"/>
    <w:rsid w:val="0016499D"/>
    <w:rsid w:val="00176F21"/>
    <w:rsid w:val="00177018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117CF"/>
    <w:rsid w:val="002138F2"/>
    <w:rsid w:val="00222E73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65EF7"/>
    <w:rsid w:val="00270686"/>
    <w:rsid w:val="00271A13"/>
    <w:rsid w:val="00294F29"/>
    <w:rsid w:val="002963F2"/>
    <w:rsid w:val="00296DB9"/>
    <w:rsid w:val="002A088A"/>
    <w:rsid w:val="002A50ED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44147"/>
    <w:rsid w:val="00447AB5"/>
    <w:rsid w:val="004553E5"/>
    <w:rsid w:val="00455EFC"/>
    <w:rsid w:val="004626BD"/>
    <w:rsid w:val="00483430"/>
    <w:rsid w:val="00490F35"/>
    <w:rsid w:val="004941F4"/>
    <w:rsid w:val="00494324"/>
    <w:rsid w:val="00496B50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500CA5"/>
    <w:rsid w:val="00505B9F"/>
    <w:rsid w:val="0050683D"/>
    <w:rsid w:val="00506CEA"/>
    <w:rsid w:val="00514CCC"/>
    <w:rsid w:val="00516314"/>
    <w:rsid w:val="00524A8C"/>
    <w:rsid w:val="005331A6"/>
    <w:rsid w:val="00550B3C"/>
    <w:rsid w:val="00551387"/>
    <w:rsid w:val="005534BA"/>
    <w:rsid w:val="00557E99"/>
    <w:rsid w:val="0056407D"/>
    <w:rsid w:val="005717BB"/>
    <w:rsid w:val="005A0E74"/>
    <w:rsid w:val="005B0DC2"/>
    <w:rsid w:val="005B0E48"/>
    <w:rsid w:val="005B219A"/>
    <w:rsid w:val="005B4EB6"/>
    <w:rsid w:val="005B5E78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604625"/>
    <w:rsid w:val="006108F8"/>
    <w:rsid w:val="006116A2"/>
    <w:rsid w:val="006145E6"/>
    <w:rsid w:val="00614B32"/>
    <w:rsid w:val="0061782D"/>
    <w:rsid w:val="00627FDF"/>
    <w:rsid w:val="00643661"/>
    <w:rsid w:val="0064481E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90D"/>
    <w:rsid w:val="007D6F8B"/>
    <w:rsid w:val="007E09DE"/>
    <w:rsid w:val="007E3A03"/>
    <w:rsid w:val="007E4FBA"/>
    <w:rsid w:val="007F157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0476"/>
    <w:rsid w:val="0088511F"/>
    <w:rsid w:val="0088653F"/>
    <w:rsid w:val="00892031"/>
    <w:rsid w:val="00892B00"/>
    <w:rsid w:val="008A10E5"/>
    <w:rsid w:val="008A50CA"/>
    <w:rsid w:val="008A5392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B7FA4"/>
    <w:rsid w:val="009C03C2"/>
    <w:rsid w:val="009C4916"/>
    <w:rsid w:val="009C784F"/>
    <w:rsid w:val="009D0D76"/>
    <w:rsid w:val="009D1932"/>
    <w:rsid w:val="009D2EBF"/>
    <w:rsid w:val="009D3E1A"/>
    <w:rsid w:val="009D3EE7"/>
    <w:rsid w:val="009D55A2"/>
    <w:rsid w:val="009E3B48"/>
    <w:rsid w:val="009E3E0F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E5C7C"/>
    <w:rsid w:val="00AF62AA"/>
    <w:rsid w:val="00AF7105"/>
    <w:rsid w:val="00B00111"/>
    <w:rsid w:val="00B030A1"/>
    <w:rsid w:val="00B0533B"/>
    <w:rsid w:val="00B12F6B"/>
    <w:rsid w:val="00B144C4"/>
    <w:rsid w:val="00B16100"/>
    <w:rsid w:val="00B20D11"/>
    <w:rsid w:val="00B2557A"/>
    <w:rsid w:val="00B32494"/>
    <w:rsid w:val="00B33969"/>
    <w:rsid w:val="00B35CAA"/>
    <w:rsid w:val="00B514A3"/>
    <w:rsid w:val="00B52055"/>
    <w:rsid w:val="00B525F7"/>
    <w:rsid w:val="00B529F6"/>
    <w:rsid w:val="00B5300B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2EAA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6D15"/>
    <w:rsid w:val="00C27055"/>
    <w:rsid w:val="00C30207"/>
    <w:rsid w:val="00C527F2"/>
    <w:rsid w:val="00C53CCD"/>
    <w:rsid w:val="00C55784"/>
    <w:rsid w:val="00C55C07"/>
    <w:rsid w:val="00C60E94"/>
    <w:rsid w:val="00C63B1B"/>
    <w:rsid w:val="00C67F9E"/>
    <w:rsid w:val="00C7035D"/>
    <w:rsid w:val="00C727B0"/>
    <w:rsid w:val="00C72A87"/>
    <w:rsid w:val="00C73ACF"/>
    <w:rsid w:val="00C80447"/>
    <w:rsid w:val="00C8272E"/>
    <w:rsid w:val="00C82A30"/>
    <w:rsid w:val="00C93C83"/>
    <w:rsid w:val="00C9529F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1D33"/>
    <w:rsid w:val="00D666C4"/>
    <w:rsid w:val="00D72916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3E52"/>
    <w:rsid w:val="00DB5573"/>
    <w:rsid w:val="00DB7D85"/>
    <w:rsid w:val="00DC2749"/>
    <w:rsid w:val="00DC30A8"/>
    <w:rsid w:val="00DC35FF"/>
    <w:rsid w:val="00DC6330"/>
    <w:rsid w:val="00DD4CE6"/>
    <w:rsid w:val="00DD7478"/>
    <w:rsid w:val="00DE0377"/>
    <w:rsid w:val="00DE0F66"/>
    <w:rsid w:val="00DE36A7"/>
    <w:rsid w:val="00DE55F9"/>
    <w:rsid w:val="00DE5919"/>
    <w:rsid w:val="00DF0C6B"/>
    <w:rsid w:val="00DF2B00"/>
    <w:rsid w:val="00E00294"/>
    <w:rsid w:val="00E03EB6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55ED6"/>
    <w:rsid w:val="00E64B3B"/>
    <w:rsid w:val="00E72055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25C4"/>
    <w:rsid w:val="00EC2E31"/>
    <w:rsid w:val="00EC3223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70CA"/>
    <w:rsid w:val="00F012B8"/>
    <w:rsid w:val="00F04122"/>
    <w:rsid w:val="00F04564"/>
    <w:rsid w:val="00F06551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845b4e5-581f-4554-8843-a411c9829904">ZXDD766ENQDJ-2055672528-1188</_dlc_DocId>
    <DateCompleted xmlns="http://schemas.microsoft.com/sharepoint/v3">2017-11-15T00:00:00+00:00</DateCompleted>
    <_dlc_DocIdUrl xmlns="7845b4e5-581f-4554-8843-a411c9829904">
      <Url>https://intranetsp.bournemouth.ac.uk/Committees/_layouts/15/DocIdRedir.aspx?ID=ZXDD766ENQDJ-2055672528-1188</Url>
      <Description>ZXDD766ENQDJ-2055672528-1188</Description>
    </_dlc_DocIdUrl>
    <_Status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5B85A30-6D16-4735-848F-0AC12CD94D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BC1DA-256E-45CC-9537-800158C25C65}"/>
</file>

<file path=customXml/itemProps3.xml><?xml version="1.0" encoding="utf-8"?>
<ds:datastoreItem xmlns:ds="http://schemas.openxmlformats.org/officeDocument/2006/customXml" ds:itemID="{3AD007EF-571D-46A8-BD72-94239E1F7940}"/>
</file>

<file path=customXml/itemProps4.xml><?xml version="1.0" encoding="utf-8"?>
<ds:datastoreItem xmlns:ds="http://schemas.openxmlformats.org/officeDocument/2006/customXml" ds:itemID="{BD29E64A-0021-4129-A591-7DF78F366F42}"/>
</file>

<file path=customXml/itemProps5.xml><?xml version="1.0" encoding="utf-8"?>
<ds:datastoreItem xmlns:ds="http://schemas.openxmlformats.org/officeDocument/2006/customXml" ds:itemID="{50EA6C96-323A-4625-AB65-3739B9B5A7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2017</dc:title>
  <dc:creator>nkett</dc:creator>
  <cp:lastModifiedBy>Maxine,Frampton</cp:lastModifiedBy>
  <cp:revision>3</cp:revision>
  <cp:lastPrinted>2013-09-30T08:39:00Z</cp:lastPrinted>
  <dcterms:created xsi:type="dcterms:W3CDTF">2017-11-06T14:01:00Z</dcterms:created>
  <dcterms:modified xsi:type="dcterms:W3CDTF">2017-11-06T14:02:00Z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d84e67b0-2bcd-4141-8621-50a72cbcb64f</vt:lpwstr>
  </property>
  <property fmtid="{D5CDD505-2E9C-101B-9397-08002B2CF9AE}" pid="3" name="ContentTypeId">
    <vt:lpwstr>0x0101009636694E58C21D48800657F43567D952</vt:lpwstr>
  </property>
</Properties>
</file>